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ayout w:type="fixed"/>
        <w:tblLook w:val="01E0" w:firstRow="1" w:lastRow="1" w:firstColumn="1" w:lastColumn="1" w:noHBand="0" w:noVBand="0"/>
      </w:tblPr>
      <w:tblGrid>
        <w:gridCol w:w="3586"/>
        <w:gridCol w:w="5924"/>
      </w:tblGrid>
      <w:tr w:rsidR="00B51815" w:rsidTr="00B51815">
        <w:trPr>
          <w:trHeight w:val="1086"/>
        </w:trPr>
        <w:tc>
          <w:tcPr>
            <w:tcW w:w="3584" w:type="dxa"/>
            <w:hideMark/>
          </w:tcPr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br w:type="page"/>
            </w:r>
            <w:r>
              <w:rPr>
                <w:rFonts w:ascii="VNtimes new roman" w:eastAsia="Times New Roman" w:hAnsi="VNtimes new roman"/>
                <w:sz w:val="28"/>
                <w:szCs w:val="28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  <w:t>ỦY BAN NHÂN DÂN</w:t>
            </w:r>
          </w:p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191135</wp:posOffset>
                      </wp:positionV>
                      <wp:extent cx="571500" cy="0"/>
                      <wp:effectExtent l="13335" t="10160" r="571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5.05pt" to="10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  <w:t>XÃ QUẢNG THÀNH </w:t>
            </w:r>
            <w:r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  <w:br/>
            </w:r>
          </w:p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:      /BC-UBND</w:t>
            </w:r>
          </w:p>
        </w:tc>
        <w:tc>
          <w:tcPr>
            <w:tcW w:w="5920" w:type="dxa"/>
          </w:tcPr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  <w:t>CỘNG HOÀ XÃ HỘI CHỦ NGHĨA VIỆT NAM</w:t>
            </w:r>
          </w:p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Độc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phúc</w:t>
            </w:r>
            <w:proofErr w:type="spellEnd"/>
          </w:p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15240</wp:posOffset>
                      </wp:positionV>
                      <wp:extent cx="2170430" cy="635"/>
                      <wp:effectExtent l="5715" t="5715" r="508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04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.2pt" to="227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"/>
                  </w:pict>
                </mc:Fallback>
              </mc:AlternateContent>
            </w:r>
          </w:p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Quảng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01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 2018</w:t>
            </w:r>
          </w:p>
          <w:p w:rsidR="00B51815" w:rsidRDefault="00B5181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en-US"/>
              </w:rPr>
            </w:pPr>
          </w:p>
        </w:tc>
      </w:tr>
    </w:tbl>
    <w:p w:rsidR="00B51815" w:rsidRDefault="00B51815" w:rsidP="00B51815">
      <w:pPr>
        <w:shd w:val="clear" w:color="auto" w:fill="FFFFFF"/>
        <w:spacing w:before="120" w:after="0" w:line="235" w:lineRule="atLeast"/>
        <w:ind w:left="3" w:right="-22" w:hanging="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</w:p>
    <w:p w:rsidR="00B51815" w:rsidRDefault="00B51815" w:rsidP="00B51815">
      <w:pPr>
        <w:shd w:val="clear" w:color="auto" w:fill="FFFFFF"/>
        <w:spacing w:before="120" w:after="0" w:line="235" w:lineRule="atLeast"/>
        <w:ind w:left="3" w:right="-22" w:hanging="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BÁO CÁO TÌNH HÌNH TIẾP NHẬN, GIẢI QUYẾT VÀ TRẢ KẾT QUẢ GIẢI QUYẾT THỦ TỤC HÀNH CHÍNH THEO CƠ CHẾ MỘT CỬA </w:t>
      </w:r>
    </w:p>
    <w:p w:rsidR="00B51815" w:rsidRDefault="00B51815" w:rsidP="00B51815">
      <w:pPr>
        <w:shd w:val="clear" w:color="auto" w:fill="FFFFFF"/>
        <w:spacing w:before="120" w:after="0" w:line="235" w:lineRule="atLeast"/>
        <w:ind w:left="3" w:right="-22" w:hanging="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Tháng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 xml:space="preserve"> 01/2018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br/>
      </w:r>
    </w:p>
    <w:p w:rsidR="00B51815" w:rsidRDefault="00B51815" w:rsidP="00B51815">
      <w:pPr>
        <w:shd w:val="clear" w:color="auto" w:fill="FFFFFF"/>
        <w:spacing w:before="20" w:after="60" w:line="288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độ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báo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cáo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định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nhân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dân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xã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Quảng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Thành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tổng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hợp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tình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tiếp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nhận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quyết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TTHC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theo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cơ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chế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một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cửa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tại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Bộ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phận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TN&amp;TKQ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trong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thời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từ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25/12/2017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đến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25/01/2018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như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sau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:</w:t>
      </w:r>
    </w:p>
    <w:p w:rsidR="00B51815" w:rsidRDefault="00B51815" w:rsidP="00B51815">
      <w:pPr>
        <w:shd w:val="clear" w:color="auto" w:fill="FFFFFF"/>
        <w:spacing w:before="20" w:after="60" w:line="288" w:lineRule="auto"/>
        <w:ind w:firstLine="680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Tình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hình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tiếp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nhận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giải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quyết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920"/>
        <w:gridCol w:w="846"/>
        <w:gridCol w:w="795"/>
        <w:gridCol w:w="794"/>
        <w:gridCol w:w="943"/>
        <w:gridCol w:w="800"/>
        <w:gridCol w:w="716"/>
        <w:gridCol w:w="796"/>
        <w:gridCol w:w="716"/>
        <w:gridCol w:w="640"/>
      </w:tblGrid>
      <w:tr w:rsidR="00B51815" w:rsidTr="00B51815">
        <w:trPr>
          <w:trHeight w:val="29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TT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Lĩnh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vực</w:t>
            </w:r>
            <w:proofErr w:type="spellEnd"/>
          </w:p>
        </w:tc>
        <w:tc>
          <w:tcPr>
            <w:tcW w:w="6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quyết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nhiều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ngày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chú</w:t>
            </w:r>
            <w:proofErr w:type="spellEnd"/>
          </w:p>
        </w:tc>
      </w:tr>
      <w:tr w:rsidR="00B51815" w:rsidTr="00B51815">
        <w:trPr>
          <w:trHeight w:val="89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chưa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quyết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kỳ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báo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cáo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kỳ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báo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cáo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quyết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đang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quyết</w:t>
            </w:r>
            <w:proofErr w:type="spellEnd"/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120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Tiếp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Trước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hẹn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hẹn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Trễ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hẹn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Đang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thụ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lý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trễ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hẹn</w:t>
            </w:r>
            <w:proofErr w:type="spellEnd"/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TB&amp;XH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 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12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/>
              </w:rPr>
            </w:pPr>
          </w:p>
        </w:tc>
      </w:tr>
    </w:tbl>
    <w:p w:rsidR="00B51815" w:rsidRDefault="00B51815" w:rsidP="00B51815">
      <w:pPr>
        <w:shd w:val="clear" w:color="auto" w:fill="FFFFFF"/>
        <w:spacing w:before="20" w:after="60" w:line="288" w:lineRule="auto"/>
        <w:ind w:firstLine="680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B51815" w:rsidRDefault="00B51815" w:rsidP="00B51815">
      <w:pPr>
        <w:shd w:val="clear" w:color="auto" w:fill="FFFFFF"/>
        <w:spacing w:before="20" w:after="60" w:line="288" w:lineRule="auto"/>
        <w:ind w:firstLine="680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p w:rsidR="00B51815" w:rsidRDefault="00B51815" w:rsidP="00B51815">
      <w:pPr>
        <w:shd w:val="clear" w:color="auto" w:fill="FFFFFF"/>
        <w:spacing w:before="20" w:after="60" w:line="288" w:lineRule="auto"/>
        <w:ind w:firstLine="680"/>
        <w:rPr>
          <w:rFonts w:ascii="Times New Roman" w:eastAsia="Times New Roman" w:hAnsi="Times New Roman"/>
          <w:color w:val="000000"/>
          <w:sz w:val="25"/>
          <w:szCs w:val="25"/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560"/>
        <w:gridCol w:w="1228"/>
        <w:gridCol w:w="1746"/>
        <w:gridCol w:w="1417"/>
        <w:gridCol w:w="1275"/>
        <w:gridCol w:w="789"/>
      </w:tblGrid>
      <w:tr w:rsidR="00B51815" w:rsidTr="00B51815">
        <w:trPr>
          <w:trHeight w:val="28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TT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Lĩnh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vực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hồ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quyết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ngày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chú</w:t>
            </w:r>
            <w:proofErr w:type="spellEnd"/>
          </w:p>
        </w:tc>
      </w:tr>
      <w:tr w:rsidR="00B51815" w:rsidTr="00B51815">
        <w:trPr>
          <w:trHeight w:val="8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quyết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thứ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7 </w:t>
            </w:r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hẹn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Trễ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en-US"/>
              </w:rPr>
              <w:t>hẹn</w:t>
            </w:r>
            <w:proofErr w:type="spellEnd"/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Tư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pháp-Hộ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tịch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739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an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TB&amp;XH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right="-73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Địa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chính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Xây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dựng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  <w:t>`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B51815" w:rsidTr="00B51815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816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815" w:rsidRDefault="00B51815">
            <w:pPr>
              <w:widowControl w:val="0"/>
              <w:spacing w:after="0" w:line="240" w:lineRule="auto"/>
              <w:ind w:left="-73" w:right="-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Tổng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hợp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đánh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giá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của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tổ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chức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cá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: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ĐÁNH GIÁ CÔNG CHỨC TIẾP NHẬN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Thái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giao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của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cán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công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chức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hồ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lịch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sự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lễ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phép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tôn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trọng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đón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một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cách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niềm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nở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vui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vẻ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ân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cần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.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Cán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hồ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hướng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dẫn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hồ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thực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hiện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thủ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tục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chính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một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cách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tình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đáo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.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đến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giao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dịch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chính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luôn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lòng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về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sự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phục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vụ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của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cán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hồ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.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5"/>
          <w:szCs w:val="25"/>
          <w:lang w:val="en-US"/>
        </w:rPr>
        <w:t>ĐÁNH GIÁ BỘ PHẬN TIẾP NHẬN VÀ TRẢ KẾT QUẢ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lòng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về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nơi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đón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của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phận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trả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vì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không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gian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thoáng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mát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sở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vật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chất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đảm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bảo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.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đến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phận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nhận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trả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gặp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cán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bộ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tiếp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làm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việc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giải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trả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ngay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nếu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hồ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thủ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tục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định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giải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ngay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trong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ngày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không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để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lại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nhiều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lần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làm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phiền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cho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con.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Hồ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sơ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thủ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tục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chính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của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bà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luôn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được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giải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đúng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hẹn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không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trả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thêm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một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khoản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tiền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ngoài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định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khi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giải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công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việc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.</w:t>
      </w:r>
    </w:p>
    <w:p w:rsidR="00B51815" w:rsidRDefault="00B51815" w:rsidP="00B51815">
      <w:pPr>
        <w:shd w:val="clear" w:color="auto" w:fill="FFFFFF"/>
        <w:spacing w:before="120" w:after="120" w:line="288" w:lineRule="auto"/>
        <w:ind w:firstLine="680"/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Nhân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dân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rất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lòng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đối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với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kết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quả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giải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quyết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thủ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tục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hành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chính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của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cơ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quan</w:t>
      </w:r>
      <w:proofErr w:type="spellEnd"/>
      <w:r>
        <w:rPr>
          <w:rFonts w:ascii="Times New Roman" w:eastAsia="Times New Roman" w:hAnsi="Times New Roman"/>
          <w:bCs/>
          <w:color w:val="000000"/>
          <w:sz w:val="25"/>
          <w:szCs w:val="25"/>
          <w:lang w:val="en-US"/>
        </w:rPr>
        <w:t>.</w:t>
      </w:r>
      <w:proofErr w:type="gramEnd"/>
    </w:p>
    <w:p w:rsidR="00B51815" w:rsidRDefault="00B51815" w:rsidP="00B51815">
      <w:pPr>
        <w:shd w:val="clear" w:color="auto" w:fill="FFFFFF"/>
        <w:spacing w:before="20" w:after="60" w:line="288" w:lineRule="auto"/>
        <w:ind w:firstLine="680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tbl>
      <w:tblPr>
        <w:tblW w:w="97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93"/>
        <w:gridCol w:w="5212"/>
      </w:tblGrid>
      <w:tr w:rsidR="00B51815" w:rsidTr="00B51815">
        <w:trPr>
          <w:trHeight w:val="145"/>
        </w:trPr>
        <w:tc>
          <w:tcPr>
            <w:tcW w:w="4493" w:type="dxa"/>
          </w:tcPr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  <w:lang w:val="en-US"/>
              </w:rPr>
              <w:t>Nơi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  <w:lang w:val="en-US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6"/>
                <w:szCs w:val="24"/>
                <w:lang w:val="en-US"/>
              </w:rPr>
              <w:t xml:space="preserve">:                                                                 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Phòng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huyện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;                                                                                        </w:t>
            </w:r>
          </w:p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-CT, PCT.UBND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xã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>;</w:t>
            </w:r>
          </w:p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phận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 xml:space="preserve"> TN&amp;TKQ;</w:t>
            </w:r>
          </w:p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/>
              </w:rPr>
              <w:t>: VT.</w:t>
            </w:r>
          </w:p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2" w:type="dxa"/>
          </w:tcPr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  <w:t>TM. ỦY BAN NHÂN DÂN</w:t>
            </w:r>
          </w:p>
          <w:p w:rsidR="00B51815" w:rsidRDefault="00B51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  <w:t xml:space="preserve">                         CHỦ TỊCH</w:t>
            </w: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en-US"/>
              </w:rPr>
            </w:pP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</w:pP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</w:pP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</w:pP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/>
              </w:rPr>
            </w:pPr>
          </w:p>
          <w:p w:rsidR="00B51815" w:rsidRDefault="00B5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51815" w:rsidRDefault="00B51815" w:rsidP="00B5181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en-US"/>
        </w:rPr>
      </w:pPr>
    </w:p>
    <w:p w:rsidR="00B51815" w:rsidRDefault="00B51815" w:rsidP="00B5181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en-US"/>
        </w:rPr>
      </w:pPr>
    </w:p>
    <w:p w:rsidR="00B51815" w:rsidRDefault="00B51815" w:rsidP="00B51815"/>
    <w:p w:rsidR="00B51815" w:rsidRDefault="00B51815" w:rsidP="00B51815"/>
    <w:p w:rsidR="00D9630D" w:rsidRDefault="00D9630D">
      <w:bookmarkStart w:id="0" w:name="_GoBack"/>
      <w:bookmarkEnd w:id="0"/>
    </w:p>
    <w:sectPr w:rsidR="00D9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B"/>
    <w:rsid w:val="00341FBA"/>
    <w:rsid w:val="00AD2ECB"/>
    <w:rsid w:val="00B51815"/>
    <w:rsid w:val="00D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2019-11-29T11:43:00Z</dcterms:created>
  <dcterms:modified xsi:type="dcterms:W3CDTF">2019-11-29T11:45:00Z</dcterms:modified>
</cp:coreProperties>
</file>