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D3314" w:rsidRPr="009D3314" w:rsidTr="009D33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14" w:rsidRPr="009D3314" w:rsidRDefault="009D3314" w:rsidP="009D331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BỘ NỘI VỤ</w:t>
            </w: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14" w:rsidRPr="009D3314" w:rsidRDefault="009D3314" w:rsidP="009D331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CỘNG HÒA XÃ HỘI CHỦ NGHĨA VIỆT NAM</w:t>
            </w: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proofErr w:type="spellStart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Độc</w:t>
            </w:r>
            <w:proofErr w:type="spellEnd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lập</w:t>
            </w:r>
            <w:proofErr w:type="spellEnd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- </w:t>
            </w:r>
            <w:proofErr w:type="spellStart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Tự</w:t>
            </w:r>
            <w:proofErr w:type="spellEnd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do - </w:t>
            </w:r>
            <w:proofErr w:type="spellStart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Hạnh</w:t>
            </w:r>
            <w:proofErr w:type="spellEnd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phúc</w:t>
            </w:r>
            <w:proofErr w:type="spellEnd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---------------</w:t>
            </w:r>
          </w:p>
        </w:tc>
      </w:tr>
      <w:tr w:rsidR="009D3314" w:rsidRPr="009D3314" w:rsidTr="009D33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14" w:rsidRPr="009D3314" w:rsidRDefault="009D3314" w:rsidP="009D331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9D3314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9D3314">
              <w:rPr>
                <w:rFonts w:eastAsia="Times New Roman" w:cs="Times New Roman"/>
                <w:color w:val="000000"/>
                <w:szCs w:val="28"/>
              </w:rPr>
              <w:t>: 03/2020/TT-BNV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14" w:rsidRPr="009D3314" w:rsidRDefault="009D3314" w:rsidP="009D3314">
            <w:pPr>
              <w:spacing w:after="120" w:line="234" w:lineRule="atLeast"/>
              <w:ind w:left="720" w:hanging="72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>Hà</w:t>
            </w:r>
            <w:proofErr w:type="spellEnd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proofErr w:type="spellEnd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21 </w:t>
            </w:r>
            <w:proofErr w:type="spellStart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07 </w:t>
            </w:r>
            <w:proofErr w:type="spellStart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9D3314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2020</w:t>
            </w:r>
          </w:p>
        </w:tc>
      </w:tr>
    </w:tbl>
    <w:p w:rsidR="009D3314" w:rsidRPr="009D3314" w:rsidRDefault="009D3314" w:rsidP="009D331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9D3314" w:rsidRPr="009D3314" w:rsidRDefault="009D3314" w:rsidP="009D3314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loai_1"/>
      <w:r w:rsidRPr="009D3314">
        <w:rPr>
          <w:rFonts w:eastAsia="Times New Roman" w:cs="Times New Roman"/>
          <w:b/>
          <w:bCs/>
          <w:color w:val="000000"/>
          <w:szCs w:val="28"/>
        </w:rPr>
        <w:t>THÔNG TƯ</w:t>
      </w:r>
      <w:bookmarkEnd w:id="0"/>
    </w:p>
    <w:p w:rsidR="009D3314" w:rsidRPr="009D3314" w:rsidRDefault="009D3314" w:rsidP="009D3314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1" w:name="loai_1_name"/>
      <w:r w:rsidRPr="009D3314">
        <w:rPr>
          <w:rFonts w:eastAsia="Times New Roman" w:cs="Times New Roman"/>
          <w:color w:val="000000"/>
          <w:szCs w:val="28"/>
        </w:rPr>
        <w:t>QUY ĐỊNH CHI TIẾT VỀ THẨM QUYỀN, TRÌNH TỰ, THỦ TỤC, BIỆN PHÁP BẢO VỆ VỊ TRÍ CÔNG TÁC CỦA NGƯỜI TỐ CÁO LÀ CÁN BỘ, CÔNG CHỨC, VIÊN CHỨC</w:t>
      </w:r>
      <w:bookmarkEnd w:id="1"/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Căn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cứ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Luật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năm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2018;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Căn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cứ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Nghị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số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> </w:t>
      </w:r>
      <w:hyperlink r:id="rId5" w:tgtFrame="_blank" w:tooltip="Nghị định 31/2019/NĐ-CP" w:history="1">
        <w:r w:rsidRPr="009D3314">
          <w:rPr>
            <w:rFonts w:eastAsia="Times New Roman" w:cs="Times New Roman"/>
            <w:i/>
            <w:iCs/>
            <w:color w:val="0E70C3"/>
            <w:szCs w:val="28"/>
          </w:rPr>
          <w:t>31/2019/NĐ-CP</w:t>
        </w:r>
      </w:hyperlink>
      <w:r w:rsidRPr="009D3314">
        <w:rPr>
          <w:rFonts w:eastAsia="Times New Roman" w:cs="Times New Roman"/>
          <w:i/>
          <w:iCs/>
          <w:color w:val="000000"/>
          <w:szCs w:val="28"/>
        </w:rPr>
        <w:t> 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ngày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10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tháng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4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năm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2019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Chính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phủ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quy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chi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tiết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một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số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và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thi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hành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Luật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>;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Căn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cứ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Nghị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số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> </w:t>
      </w:r>
      <w:hyperlink r:id="rId6" w:tgtFrame="_blank" w:tooltip="Nghị định 34/2017/NĐ-CP" w:history="1">
        <w:r w:rsidRPr="009D3314">
          <w:rPr>
            <w:rFonts w:eastAsia="Times New Roman" w:cs="Times New Roman"/>
            <w:i/>
            <w:iCs/>
            <w:color w:val="0E70C3"/>
            <w:szCs w:val="28"/>
          </w:rPr>
          <w:t>34/2017/NĐ-CP</w:t>
        </w:r>
      </w:hyperlink>
      <w:r w:rsidRPr="009D3314">
        <w:rPr>
          <w:rFonts w:eastAsia="Times New Roman" w:cs="Times New Roman"/>
          <w:i/>
          <w:iCs/>
          <w:color w:val="000000"/>
          <w:szCs w:val="28"/>
        </w:rPr>
        <w:t> 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ngày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03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tháng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4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năm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2017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Chính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phủ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quy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năng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nhiệm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vụ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hạn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và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cơ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cấu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Nội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vụ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i/>
          <w:iCs/>
          <w:color w:val="000000"/>
          <w:szCs w:val="28"/>
        </w:rPr>
        <w:t xml:space="preserve">Theo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đề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nghị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Vụ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trưởng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Vụ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-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>;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trưởng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Nội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vụ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ban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hành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Thông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tư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quy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chi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tiết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về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thẩm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trình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tự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thủ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tục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i/>
          <w:iCs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i/>
          <w:iCs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bookmarkStart w:id="2" w:name="dieu_1"/>
      <w:proofErr w:type="spellStart"/>
      <w:proofErr w:type="gramStart"/>
      <w:r w:rsidRPr="009D331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1.</w:t>
      </w:r>
      <w:proofErr w:type="gram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Phạm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9D3314">
        <w:rPr>
          <w:rFonts w:eastAsia="Times New Roman" w:cs="Times New Roman"/>
          <w:b/>
          <w:bCs/>
          <w:color w:val="000000"/>
          <w:szCs w:val="28"/>
        </w:rPr>
        <w:t>vi</w:t>
      </w:r>
      <w:proofErr w:type="gram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chỉnh</w:t>
      </w:r>
      <w:bookmarkEnd w:id="2"/>
      <w:proofErr w:type="spellEnd"/>
    </w:p>
    <w:p w:rsidR="009D3314" w:rsidRPr="009D3314" w:rsidRDefault="009D3314" w:rsidP="009D3314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9D3314">
        <w:rPr>
          <w:rFonts w:eastAsia="Times New Roman" w:cs="Times New Roman"/>
          <w:color w:val="000000"/>
          <w:szCs w:val="28"/>
        </w:rPr>
        <w:t>Thông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tư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này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chi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tiết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về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thẩm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trình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tự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thủ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tục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  <w:proofErr w:type="gramEnd"/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bookmarkStart w:id="3" w:name="dieu_2"/>
      <w:proofErr w:type="spellStart"/>
      <w:proofErr w:type="gramStart"/>
      <w:r w:rsidRPr="009D331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2.</w:t>
      </w:r>
      <w:proofErr w:type="gram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Đối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tượng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áp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dụng</w:t>
      </w:r>
      <w:bookmarkEnd w:id="3"/>
      <w:proofErr w:type="spellEnd"/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1.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proofErr w:type="gram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proofErr w:type="gram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2.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đến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giải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3.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trách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nhiệm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bookmarkStart w:id="4" w:name="dieu_3"/>
      <w:proofErr w:type="spellStart"/>
      <w:proofErr w:type="gramStart"/>
      <w:r w:rsidRPr="009D331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3.</w:t>
      </w:r>
      <w:proofErr w:type="gram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Nội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dung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tác</w:t>
      </w:r>
      <w:bookmarkEnd w:id="4"/>
      <w:proofErr w:type="spellEnd"/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gắn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với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danh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vụ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nhiệm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vụ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gắn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với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danh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nghề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vụ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quản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lý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trong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trình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giải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bookmarkStart w:id="5" w:name="dieu_4"/>
      <w:proofErr w:type="spellStart"/>
      <w:proofErr w:type="gramStart"/>
      <w:r w:rsidRPr="009D331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4.</w:t>
      </w:r>
      <w:proofErr w:type="gram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Thẩm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áp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dụng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vệ</w:t>
      </w:r>
      <w:bookmarkEnd w:id="5"/>
      <w:proofErr w:type="spellEnd"/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1.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thẩm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giải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áp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dụng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proofErr w:type="gram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proofErr w:type="gram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thuộc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quản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lý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2.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thẩm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giải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yêu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cầu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đề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nghị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lastRenderedPageBreak/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trong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hợp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không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thuộc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thẩm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quản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lý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thẩm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giải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3.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trách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nhiệm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chủ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trì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phối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hợp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với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đoàn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ban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thanh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dân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khác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cùng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cấp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trong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bookmarkStart w:id="6" w:name="dieu_5"/>
      <w:proofErr w:type="spellStart"/>
      <w:proofErr w:type="gramStart"/>
      <w:r w:rsidRPr="009D331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5.</w:t>
      </w:r>
      <w:proofErr w:type="gram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Trình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thủ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tục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vệ</w:t>
      </w:r>
      <w:bookmarkEnd w:id="6"/>
      <w:proofErr w:type="spellEnd"/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D3314">
        <w:rPr>
          <w:rFonts w:eastAsia="Times New Roman" w:cs="Times New Roman"/>
          <w:color w:val="000000"/>
          <w:szCs w:val="28"/>
        </w:rPr>
        <w:t>Trình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tự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thủ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tục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D3314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tại</w:t>
      </w:r>
      <w:proofErr w:type="spellEnd"/>
      <w:r w:rsidRPr="009D3314">
        <w:rPr>
          <w:rFonts w:eastAsia="Times New Roman" w:cs="Times New Roman"/>
          <w:color w:val="000000"/>
          <w:szCs w:val="28"/>
        </w:rPr>
        <w:t> </w:t>
      </w:r>
      <w:bookmarkStart w:id="7" w:name="dc_1"/>
      <w:proofErr w:type="spellStart"/>
      <w:r w:rsidRPr="009D3314">
        <w:rPr>
          <w:rFonts w:eastAsia="Times New Roman" w:cs="Times New Roman"/>
          <w:color w:val="000000"/>
          <w:szCs w:val="28"/>
        </w:rPr>
        <w:t>Mục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2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Chương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VI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Luật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bookmarkEnd w:id="7"/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bookmarkStart w:id="8" w:name="dieu_6"/>
      <w:proofErr w:type="spellStart"/>
      <w:proofErr w:type="gramStart"/>
      <w:r w:rsidRPr="009D331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6.</w:t>
      </w:r>
      <w:proofErr w:type="gram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vệ</w:t>
      </w:r>
      <w:bookmarkEnd w:id="8"/>
      <w:proofErr w:type="spellEnd"/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1.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D3314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tại</w:t>
      </w:r>
      <w:proofErr w:type="spellEnd"/>
      <w:r w:rsidRPr="009D3314">
        <w:rPr>
          <w:rFonts w:eastAsia="Times New Roman" w:cs="Times New Roman"/>
          <w:color w:val="000000"/>
          <w:szCs w:val="28"/>
        </w:rPr>
        <w:t> </w:t>
      </w:r>
      <w:bookmarkStart w:id="9" w:name="dc_2"/>
      <w:proofErr w:type="spellStart"/>
      <w:r w:rsidRPr="009D3314">
        <w:rPr>
          <w:rFonts w:eastAsia="Times New Roman" w:cs="Times New Roman"/>
          <w:color w:val="000000"/>
          <w:szCs w:val="28"/>
        </w:rPr>
        <w:t>khoản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1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57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Luật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bookmarkEnd w:id="9"/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2.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Không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luân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chuyển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biệt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phái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chuyển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đổi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khác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đối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với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trong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gian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trừ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hợp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sau</w:t>
      </w:r>
      <w:proofErr w:type="spellEnd"/>
      <w:r w:rsidRPr="009D3314">
        <w:rPr>
          <w:rFonts w:eastAsia="Times New Roman" w:cs="Times New Roman"/>
          <w:color w:val="000000"/>
          <w:szCs w:val="28"/>
        </w:rPr>
        <w:t>: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a)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việc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chuyển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đổi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theo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tại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Chương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V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Nghị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số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> </w:t>
      </w:r>
      <w:hyperlink r:id="rId7" w:tgtFrame="_blank" w:tooltip="Nghị định 59/2019/NĐ-CP" w:history="1">
        <w:r w:rsidRPr="009D3314">
          <w:rPr>
            <w:rFonts w:eastAsia="Times New Roman" w:cs="Times New Roman"/>
            <w:color w:val="0E70C3"/>
            <w:szCs w:val="28"/>
          </w:rPr>
          <w:t>59/2019/NĐ-CP</w:t>
        </w:r>
      </w:hyperlink>
      <w:r w:rsidRPr="009D3314">
        <w:rPr>
          <w:rFonts w:eastAsia="Times New Roman" w:cs="Times New Roman"/>
          <w:color w:val="000000"/>
          <w:szCs w:val="28"/>
        </w:rPr>
        <w:t> 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ngày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01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tháng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7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năm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2019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Chính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phủ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chi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tiết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một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số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biện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pháp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hành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Luật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Phòng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chống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tham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nhũng</w:t>
      </w:r>
      <w:proofErr w:type="spellEnd"/>
      <w:r w:rsidRPr="009D3314">
        <w:rPr>
          <w:rFonts w:eastAsia="Times New Roman" w:cs="Times New Roman"/>
          <w:color w:val="000000"/>
          <w:szCs w:val="28"/>
        </w:rPr>
        <w:t>;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b)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sự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đồng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>;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c) Theo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yêu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cầu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bằng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văn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của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thẩm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giải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3.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Không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xử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lý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kỷ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luật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trong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gian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bảo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vệ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trừ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hợp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hành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vi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phạm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không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đến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lĩnh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cáo</w:t>
      </w:r>
      <w:proofErr w:type="spellEnd"/>
      <w:r w:rsidRPr="009D3314">
        <w:rPr>
          <w:rFonts w:eastAsia="Times New Roman" w:cs="Times New Roman"/>
          <w:color w:val="000000"/>
          <w:szCs w:val="28"/>
        </w:rPr>
        <w:t>.</w:t>
      </w:r>
    </w:p>
    <w:p w:rsidR="009D3314" w:rsidRPr="009D3314" w:rsidRDefault="009D3314" w:rsidP="009D3314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bookmarkStart w:id="10" w:name="dieu_7"/>
      <w:proofErr w:type="spellStart"/>
      <w:proofErr w:type="gramStart"/>
      <w:r w:rsidRPr="009D331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7.</w:t>
      </w:r>
      <w:proofErr w:type="gram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Hiệu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lực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thi</w:t>
      </w:r>
      <w:proofErr w:type="spellEnd"/>
      <w:r w:rsidRPr="009D331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b/>
          <w:bCs/>
          <w:color w:val="000000"/>
          <w:szCs w:val="28"/>
        </w:rPr>
        <w:t>hành</w:t>
      </w:r>
      <w:bookmarkEnd w:id="10"/>
      <w:proofErr w:type="spellEnd"/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1.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tư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này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hiệu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hành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kể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từ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ngày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05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tháng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9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năm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2020.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 xml:space="preserve">2.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trưởng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Thủ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trưởng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ngang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Bộ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thuộc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Chính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phủ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Chủ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tịch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Ủy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dân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tỉnh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thành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phố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trực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thuộc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Trung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ương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và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tổ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cá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nhân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có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liên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quan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chịu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trách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nhiệm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thi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hành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Thông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tư</w:t>
      </w:r>
      <w:proofErr w:type="spellEnd"/>
      <w:r w:rsidRPr="009D331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3314">
        <w:rPr>
          <w:rFonts w:eastAsia="Times New Roman" w:cs="Times New Roman"/>
          <w:color w:val="000000"/>
          <w:szCs w:val="28"/>
        </w:rPr>
        <w:t>này</w:t>
      </w:r>
      <w:proofErr w:type="spellEnd"/>
      <w:r w:rsidRPr="009D3314">
        <w:rPr>
          <w:rFonts w:eastAsia="Times New Roman" w:cs="Times New Roman"/>
          <w:color w:val="000000"/>
          <w:szCs w:val="28"/>
        </w:rPr>
        <w:t>./.</w:t>
      </w:r>
    </w:p>
    <w:p w:rsidR="009D3314" w:rsidRPr="009D3314" w:rsidRDefault="009D3314" w:rsidP="009D3314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9D3314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186"/>
      </w:tblGrid>
      <w:tr w:rsidR="009D3314" w:rsidRPr="009D3314" w:rsidTr="009D3314">
        <w:trPr>
          <w:tblCellSpacing w:w="0" w:type="dxa"/>
        </w:trPr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14" w:rsidRPr="009D3314" w:rsidRDefault="009D3314" w:rsidP="009D331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</w:rPr>
            </w:pPr>
            <w:bookmarkStart w:id="11" w:name="_GoBack"/>
            <w:bookmarkEnd w:id="11"/>
            <w:proofErr w:type="spellStart"/>
            <w:r w:rsidRPr="009D331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9D331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9D331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9D331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- Ban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Bí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thư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Trung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ương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Đảng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Thủ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tướng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Chính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phủ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Phó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Thủ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tướng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Chính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phủ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Bộ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cơ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quan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ngang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Bộ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cơ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quan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thuộc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Chính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phủ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Văn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phòng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Trung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ương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Đảng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và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Ban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Đảng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Văn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phòng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Quốc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hội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Văn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phòng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Chủ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tịch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nước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Văn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phòng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Chính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phủ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Viện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kiểm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sát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nhân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dân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tối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cao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Tòa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án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nhân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dân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tối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cao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Kiểm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toán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nhà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nước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Ủy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ban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Trung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ương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Mặt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trận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quốc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Việt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Nam;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Cơ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quan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Trung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ương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chức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chính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trị-xã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lastRenderedPageBreak/>
              <w:t>hội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HĐND, UBND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tỉnh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thành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phố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trực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thuộc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TW;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Công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báo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; Website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Chính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phủ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;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Cơ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sở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dữ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liệu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quốc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gia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về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văn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bản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quy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phạm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luật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; Website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Bộ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Nội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vụ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Bộ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Nội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vụ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Bộ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trưởng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Thứ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trưởng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đơn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vị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thuộc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trực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thuộc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Bộ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Cục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Kiểm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tra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văn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bản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QPPL (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Bộ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Tư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);</w:t>
            </w:r>
            <w:r w:rsidRPr="009D3314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9D3314">
              <w:rPr>
                <w:rFonts w:eastAsia="Times New Roman" w:cs="Times New Roman"/>
                <w:color w:val="000000"/>
                <w:sz w:val="22"/>
              </w:rPr>
              <w:t>Lưu</w:t>
            </w:r>
            <w:proofErr w:type="spellEnd"/>
            <w:r w:rsidRPr="009D3314">
              <w:rPr>
                <w:rFonts w:eastAsia="Times New Roman" w:cs="Times New Roman"/>
                <w:color w:val="000000"/>
                <w:sz w:val="22"/>
              </w:rPr>
              <w:t>: VT, CCVC.</w:t>
            </w:r>
          </w:p>
        </w:tc>
        <w:tc>
          <w:tcPr>
            <w:tcW w:w="4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14" w:rsidRPr="009D3314" w:rsidRDefault="009D3314" w:rsidP="009D3314">
            <w:pPr>
              <w:spacing w:before="120" w:after="24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BỘ TRƯỞNG</w:t>
            </w: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proofErr w:type="spellStart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Lê</w:t>
            </w:r>
            <w:proofErr w:type="spellEnd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Vĩnh</w:t>
            </w:r>
            <w:proofErr w:type="spellEnd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D3314">
              <w:rPr>
                <w:rFonts w:eastAsia="Times New Roman" w:cs="Times New Roman"/>
                <w:b/>
                <w:bCs/>
                <w:color w:val="000000"/>
                <w:szCs w:val="28"/>
              </w:rPr>
              <w:t>Tân</w:t>
            </w:r>
            <w:proofErr w:type="spellEnd"/>
          </w:p>
        </w:tc>
      </w:tr>
    </w:tbl>
    <w:p w:rsidR="00D261D3" w:rsidRPr="009D3314" w:rsidRDefault="00D261D3" w:rsidP="009D3314">
      <w:pPr>
        <w:jc w:val="both"/>
        <w:rPr>
          <w:rFonts w:cs="Times New Roman"/>
          <w:szCs w:val="28"/>
        </w:rPr>
      </w:pPr>
    </w:p>
    <w:p w:rsidR="009D3314" w:rsidRPr="009D3314" w:rsidRDefault="009D3314">
      <w:pPr>
        <w:jc w:val="both"/>
        <w:rPr>
          <w:rFonts w:cs="Times New Roman"/>
          <w:szCs w:val="28"/>
        </w:rPr>
      </w:pPr>
    </w:p>
    <w:sectPr w:rsidR="009D3314" w:rsidRPr="009D3314" w:rsidSect="009D3314">
      <w:pgSz w:w="11909" w:h="16834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4"/>
    <w:rsid w:val="007070E4"/>
    <w:rsid w:val="009D3314"/>
    <w:rsid w:val="00A464CD"/>
    <w:rsid w:val="00D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3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3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tai-chinh-nha-nuoc/nghi-dinh-59-2019-nd-cp-huong-dan-luat-phong-chong-tham-nhung-417854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o-may-hanh-chinh/nghi-dinh-34-2017-nd-cp-quy-dinh-chuc-nang-nhiem-vu-quyen-han-co-cau-to-chuc-bo-noi-vu-321594.aspx" TargetMode="External"/><Relationship Id="rId5" Type="http://schemas.openxmlformats.org/officeDocument/2006/relationships/hyperlink" Target="https://thuvienphapluat.vn/van-ban/bo-may-hanh-chinh/nghi-dinh-31-2019-nd-cp-huong-dan-luat-to-cao-411596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2020-08-04T06:52:00Z</dcterms:created>
  <dcterms:modified xsi:type="dcterms:W3CDTF">2020-08-04T06:55:00Z</dcterms:modified>
</cp:coreProperties>
</file>